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EA" w:rsidRDefault="001146EA" w:rsidP="0011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 xml:space="preserve">РОССИЙСКАЯ ФЕДЕРАЦИЯ                                      </w:t>
      </w:r>
    </w:p>
    <w:p w:rsidR="001146EA" w:rsidRDefault="001146EA" w:rsidP="0011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КУРГАНСКАЯ ОБЛАСТЬ                    ПРОЕКТ</w:t>
      </w:r>
    </w:p>
    <w:p w:rsidR="001146EA" w:rsidRDefault="001146EA" w:rsidP="0011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ДАВЫДОВСКИЙ СЕЛЬСОВЕТ</w:t>
      </w: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ДАВЫДОВСКАЯ СЕЛЬСКАЯ ДУМА</w:t>
      </w: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                 2022 г.                                          №</w:t>
      </w:r>
    </w:p>
    <w:p w:rsidR="001146EA" w:rsidRDefault="001146EA" w:rsidP="001146EA">
      <w:pPr>
        <w:pStyle w:val="a4"/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</w:t>
      </w: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преобразовании всех поселений, входящих в состав Притобольного района</w:t>
      </w:r>
      <w:bookmarkEnd w:id="0"/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Давыдовского сельсовета Притобольного  района Курганской области, на основании протокола и заключения о результатах публичных слушаний от 24.03.2022 года, подтверждающих выявленное по результатам проведения публичных слушаний несогласие населения по вопросу преобразования всех поселений, входящих в состав Притобольного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1146EA" w:rsidRDefault="001146EA" w:rsidP="001146E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РЕШИЛА:</w:t>
      </w: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несогласие населения Давыдовского сельсовета Притобольного района Курганской области на преобразование муниципальных образований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Притобольного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1146EA" w:rsidRDefault="001146EA" w:rsidP="001146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 Направить настоящее решение в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Притобольного района Курганской области.</w:t>
      </w:r>
    </w:p>
    <w:p w:rsidR="001146EA" w:rsidRDefault="001146EA" w:rsidP="001146EA">
      <w:pPr>
        <w:tabs>
          <w:tab w:val="left" w:pos="900"/>
        </w:tabs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sz w:val="24"/>
        </w:rPr>
        <w:t xml:space="preserve">        3. Обнародовать  настоящее решение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библиотеки;  в д. Патраки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библиотеки; в д. Покровка на доске объявлений.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</w:t>
      </w:r>
    </w:p>
    <w:p w:rsidR="001146EA" w:rsidRPr="001146EA" w:rsidRDefault="001146EA" w:rsidP="001146EA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46EA">
        <w:rPr>
          <w:rFonts w:ascii="Times New Roman" w:hAnsi="Times New Roman" w:cs="Times New Roman"/>
          <w:color w:val="000000" w:themeColor="text1"/>
          <w:sz w:val="24"/>
        </w:rPr>
        <w:t xml:space="preserve">              4. Настоящее решение вступает в силу после его официального обнародования.</w:t>
      </w: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sz w:val="24"/>
        </w:rPr>
        <w:t xml:space="preserve">Председатель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</w:rPr>
        <w:t>Давыдовской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</w:rPr>
        <w:t xml:space="preserve"> сельской Думы                                                        Л.И. Макарова</w:t>
      </w:r>
    </w:p>
    <w:p w:rsidR="001146EA" w:rsidRDefault="001146EA" w:rsidP="001146EA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ind w:right="-2"/>
        <w:rPr>
          <w:rStyle w:val="a6"/>
          <w:b w:val="0"/>
        </w:rPr>
      </w:pPr>
      <w:r>
        <w:rPr>
          <w:rFonts w:ascii="Times New Roman" w:hAnsi="Times New Roman" w:cs="Times New Roman"/>
          <w:sz w:val="24"/>
        </w:rPr>
        <w:t>Глава  Давыдовского сельсовета                                                                               В.И. Иванов</w:t>
      </w:r>
    </w:p>
    <w:p w:rsidR="001146EA" w:rsidRDefault="001146EA" w:rsidP="001146EA">
      <w:pPr>
        <w:pStyle w:val="a4"/>
        <w:spacing w:after="0"/>
        <w:ind w:right="-2"/>
        <w:jc w:val="both"/>
      </w:pPr>
    </w:p>
    <w:sectPr w:rsidR="001146EA" w:rsidSect="001146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EA"/>
    <w:rsid w:val="001146EA"/>
    <w:rsid w:val="00297D67"/>
    <w:rsid w:val="002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EA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46EA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1146E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146EA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1146EA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1146E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2022-03-25T03:23:00Z</cp:lastPrinted>
  <dcterms:created xsi:type="dcterms:W3CDTF">2022-03-25T03:16:00Z</dcterms:created>
  <dcterms:modified xsi:type="dcterms:W3CDTF">2022-03-25T03:27:00Z</dcterms:modified>
</cp:coreProperties>
</file>